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color w:val="2f5496" w:themeColor="accent5" w:themeShade="BF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Карта клиентского пути</w:t>
      </w:r>
      <w:r>
        <w:rPr>
          <w:rFonts w:ascii="Times New Roman" w:hAnsi="Times New Roman" w:cs="Times New Roman"/>
          <w:b/>
          <w:color w:val="2f5496" w:themeColor="accent5" w:themeShade="BF"/>
          <w:sz w:val="32"/>
          <w:szCs w:val="32"/>
        </w:rPr>
      </w:r>
    </w:p>
    <w:p>
      <w:pPr>
        <w:jc w:val="center"/>
        <w:rPr>
          <w:rFonts w:ascii="Times New Roman" w:hAnsi="Times New Roman" w:cs="Times New Roman"/>
          <w:b/>
          <w:color w:val="2f5496" w:themeColor="accent5" w:themeShade="BF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(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г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осударственная услуг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а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 -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Предоставление дополнительного материального обеспечения в виде пожизненной ежемесячной денежной выплаты чемпионам Олимпийских игр, 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Паралимпийских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 игр, 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Сурдлимпийских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 игр, завершившим спортивную карьеру, а также их тренерам</w:t>
      </w:r>
      <w:r>
        <w:rPr>
          <w:rFonts w:ascii="Times New Roman" w:hAnsi="Times New Roman" w:eastAsia="Times New Roman" w:cs="Times New Roman"/>
          <w:b/>
          <w:color w:val="2f5496" w:themeColor="accent5" w:themeShade="BF"/>
          <w:sz w:val="32"/>
          <w:szCs w:val="32"/>
        </w:rPr>
        <w:t xml:space="preserve">)</w:t>
      </w:r>
      <w:r>
        <w:rPr>
          <w:rFonts w:ascii="Times New Roman" w:hAnsi="Times New Roman" w:cs="Times New Roman"/>
          <w:b/>
          <w:color w:val="2f5496" w:themeColor="accent5" w:themeShade="BF"/>
          <w:sz w:val="32"/>
          <w:szCs w:val="32"/>
        </w:rPr>
      </w:r>
    </w:p>
    <w:tbl>
      <w:tblPr>
        <w:tblStyle w:val="647"/>
        <w:tblpPr w:horzAnchor="margin" w:tblpXSpec="left" w:vertAnchor="page" w:tblpY="3114" w:leftFromText="180" w:topFromText="0" w:rightFromText="180" w:bottomFromText="0"/>
        <w:tblW w:w="5000" w:type="pct"/>
        <w:tblBorders>
          <w:top w:val="single" w:color="8EAADB" w:themeColor="accent5" w:themeTint="99" w:sz="4" w:space="0"/>
          <w:left w:val="none" w:color="auto" w:sz="0" w:space="0"/>
          <w:bottom w:val="single" w:color="8EAADB" w:themeColor="accent5" w:themeTint="99" w:sz="4" w:space="0"/>
          <w:right w:val="none" w:color="auto" w:sz="0" w:space="0"/>
          <w:insideH w:val="single" w:color="8EAADB" w:themeColor="accent5" w:themeTint="99" w:sz="4" w:space="0"/>
          <w:insideV w:val="single" w:color="8EAADB" w:themeColor="accent5" w:themeTint="99" w:sz="4" w:space="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1405"/>
        <w:gridCol w:w="1533"/>
        <w:gridCol w:w="1657"/>
        <w:gridCol w:w="2047"/>
        <w:gridCol w:w="1620"/>
        <w:gridCol w:w="1638"/>
        <w:gridCol w:w="1448"/>
        <w:gridCol w:w="1480"/>
        <w:gridCol w:w="1519"/>
      </w:tblGrid>
      <w:tr>
        <w:tblPrEx/>
        <w:trPr>
          <w:trHeight w:val="335"/>
        </w:trPr>
        <w:tc>
          <w:tcPr>
            <w:shd w:val="clear" w:color="auto" w:fill="1f3864" w:themeFill="accent5" w:themeFillShade="80"/>
            <w:tcW w:w="148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№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475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ffffff" w:themeColor="background1"/>
                <w:sz w:val="20"/>
                <w:szCs w:val="20"/>
              </w:rPr>
              <w:t xml:space="preserve">Этап</w:t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18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Цели и ожидания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60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Действия клиента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692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Точки контакта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48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Эмоциональная составляющая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54" w:type="pct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Метрики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br/>
              <w:t xml:space="preserve">(опционально)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gridSpan w:val="2"/>
            <w:shd w:val="clear" w:color="auto" w:fill="1f3864" w:themeFill="accent5" w:themeFillShade="80"/>
            <w:tcW w:w="990" w:type="pct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Опыт клиента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14" w:type="pct"/>
            <w:vAlign w:val="center"/>
            <w:vMerge w:val="restar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Рекомендации Лаборатории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tcW w:w="148" w:type="pct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475" w:type="pct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  <w:r>
              <w:rPr>
                <w:rFonts w:ascii="Golos Text" w:hAnsi="Golos Text" w:cs="Golos Text"/>
                <w:color w:val="bfbfbf" w:themeColor="background1" w:themeShade="BF"/>
                <w:sz w:val="20"/>
                <w:szCs w:val="20"/>
              </w:rPr>
            </w:r>
          </w:p>
        </w:tc>
        <w:tc>
          <w:tcPr>
            <w:tcW w:w="518" w:type="pct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tcW w:w="560" w:type="pct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692" w:type="pct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48" w:type="pct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54" w:type="pct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490" w:type="pct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Позитивный опыт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shd w:val="clear" w:color="auto" w:fill="1f3864" w:themeFill="accent5" w:themeFillShade="80"/>
            <w:tcW w:w="500" w:type="pct"/>
            <w:vAlign w:val="center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jc w:val="center"/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  <w:t xml:space="preserve">Негативный опыт/Барьеры</w:t>
            </w:r>
            <w:r>
              <w:rPr>
                <w:rFonts w:ascii="Golos Text" w:hAnsi="Golos Text" w:cs="Golos Text"/>
                <w:b/>
                <w:color w:val="ffffff" w:themeColor="background1"/>
                <w:sz w:val="20"/>
                <w:szCs w:val="20"/>
              </w:rPr>
            </w:r>
          </w:p>
        </w:tc>
        <w:tc>
          <w:tcPr>
            <w:tcW w:w="514" w:type="pct"/>
            <w:vAlign w:val="center"/>
            <w:vMerge w:val="continue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pP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  <w:r>
              <w:rPr>
                <w:rFonts w:ascii="Golos Text" w:hAnsi="Golos Text" w:cs="Golos Text"/>
                <w:b/>
                <w:color w:val="002ca8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1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Поиск информации </w:t>
            </w:r>
            <w:r>
              <w:rPr>
                <w:rFonts w:ascii="Golos Text" w:hAnsi="Golos Text" w:cs="Golos Text"/>
                <w:sz w:val="20"/>
                <w:szCs w:val="20"/>
                <w:highlight w:val="yellow"/>
              </w:rPr>
            </w:r>
          </w:p>
        </w:tc>
        <w:tc>
          <w:tcPr>
            <w:tcW w:w="51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Найти информацию 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Ищет информацию о мероприятии в: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интернете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тематических сообществах в социальных сетях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узнает через знакомых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Министерство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Пункт МФЦ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Информационные материалы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Сайт министерства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Позитивно</w:t>
            </w:r>
            <w:r>
              <w:rPr>
                <w:rFonts w:ascii="Golos Text" w:hAnsi="Golos Text" w:cs="Golos Text"/>
                <w:sz w:val="20"/>
                <w:szCs w:val="20"/>
                <w:highlight w:val="yellow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запрашиваемых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49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Помогли сотрудники МФЦ</w:t>
            </w:r>
            <w:r>
              <w:rPr>
                <w:rFonts w:ascii="Golos Text" w:hAnsi="Golos Text" w:cs="Golos Text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50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Тратит много времени на поиск информации, с трудом находит необходимую информацию в интернете.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Поиск через интернет не дает результатов, релевантных запросу.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514" w:type="pct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Golos Text" w:hAnsi="Golos Text" w:cs="Golos Text"/>
              </w:rPr>
            </w:pPr>
            <w:r>
              <w:rPr>
                <w:rFonts w:ascii="Golos Text" w:hAnsi="Golos Text" w:cs="Golos Text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Golos Text" w:hAnsi="Golos Text" w:cs="Golos Text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1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Сбор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 необходимы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х документов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1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Представление документов в министерство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Ищет перечень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Собирает имеющиеся документы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Делает запрос в необходимые ведомства и организации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Министерство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Пункт МФЦ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Сайт министерства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Спортивные организации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Нейтрально</w:t>
            </w:r>
            <w: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представляемых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и спортивные организации 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49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Помогли сотрудники 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министерства, спортивной организации или 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МФЦ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50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Тратит много времени на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запрос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Необходимо очное посещение органов и организаций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color w:val="c00000"/>
                <w:sz w:val="20"/>
                <w:szCs w:val="20"/>
                <w:highlight w:val="yellow"/>
              </w:rPr>
            </w:r>
            <w:r>
              <w:rPr>
                <w:rFonts w:ascii="Golos Text" w:hAnsi="Golos Text" w:cs="Golos Text"/>
                <w:color w:val="c00000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sz="4" w:space="0"/>
            </w:tcBorders>
            <w:tcW w:w="514" w:type="pct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Golos Text" w:hAnsi="Golos Text" w:cs="Golos Text"/>
              </w:rPr>
            </w:pPr>
            <w:r>
              <w:rPr>
                <w:rFonts w:ascii="Golos Text" w:hAnsi="Golos Text" w:cs="Golos Text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Golos Text" w:hAnsi="Golos Text" w:cs="Golos Text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1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Обращение в министерство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1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Получение 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госуслуги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Представляет перечень документов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Министерство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Пункт МФЦ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Нейтрально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представляемых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49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Помогли сотрудники 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министерства 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Быстрое рассмотрение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50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Тратит много времени на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посещение министерства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Долгое рассмотрение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tabs>
                <w:tab w:val="left" w:pos="215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Получение отказа</w:t>
            </w:r>
            <w:r>
              <w:rPr>
                <w:rFonts w:ascii="Golos Text" w:hAnsi="Golos Text" w:cs="Golos Text"/>
                <w:sz w:val="20"/>
                <w:szCs w:val="20"/>
              </w:rPr>
              <w:t xml:space="preserve"> в рассмотрении документов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514" w:type="pct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Golos Text" w:hAnsi="Golos Text" w:cs="Golos Text"/>
              </w:rPr>
            </w:pPr>
            <w:r>
              <w:rPr>
                <w:rFonts w:ascii="Golos Text" w:hAnsi="Golos Text" w:cs="Golos Text"/>
              </w:rPr>
              <w:t xml:space="preserve">Реализовать единое цифровое пространство со всей необходимой информацией </w:t>
            </w:r>
            <w:r>
              <w:rPr>
                <w:rFonts w:ascii="Golos Text" w:hAnsi="Golos Text" w:cs="Golos Text"/>
              </w:rPr>
            </w:r>
          </w:p>
          <w:p>
            <w:pPr>
              <w:pStyle w:val="648"/>
              <w:numPr>
                <w:ilvl w:val="0"/>
                <w:numId w:val="0"/>
              </w:numPr>
              <w:ind w:left="105"/>
              <w:tabs>
                <w:tab w:val="left" w:pos="0" w:leader="none"/>
                <w:tab w:val="left" w:pos="320" w:leader="none"/>
              </w:tabs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left w:val="single" w:color="8EAADB" w:sz="4" w:space="0"/>
            </w:tcBorders>
            <w:tcW w:w="1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3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475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Получение результата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1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Получение выплаты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56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tabs>
                <w:tab w:val="left" w:pos="281" w:leader="none"/>
              </w:tabs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pP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  <w:t xml:space="preserve">Ожидает уведомление о результате</w:t>
            </w:r>
            <w:r>
              <w:rPr>
                <w:rFonts w:ascii="Golos Text" w:hAnsi="Golos Text" w:cs="Golos Text"/>
                <w:color w:val="000000" w:themeColor="text1"/>
                <w:sz w:val="20"/>
                <w:szCs w:val="20"/>
              </w:rPr>
            </w:r>
          </w:p>
        </w:tc>
        <w:tc>
          <w:tcPr>
            <w:tcW w:w="692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Министерство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Почтовая служба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tcW w:w="548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Позитивно/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Негативно</w:t>
            </w:r>
            <w: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tcW w:w="554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походов в ведомства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2"/>
              </w:numPr>
              <w:ind w:left="0" w:firstLine="0"/>
              <w:tabs>
                <w:tab w:val="left" w:pos="281" w:leader="none"/>
              </w:tabs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Кол-во потраченного времени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</w:tc>
        <w:tc>
          <w:tcPr>
            <w:shd w:val="clear" w:color="auto" w:fill="auto"/>
            <w:tcW w:w="49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Быстрое решение министерства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Назначение выплат</w:t>
            </w:r>
            <w:r>
              <w:rPr>
                <w:rFonts w:ascii="Golos Text" w:hAnsi="Golos Text" w:cs="Golos Text"/>
                <w:color w:val="538135" w:themeColor="accent6" w:themeShade="BF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500" w:type="pct"/>
            <w:textDirection w:val="lrTb"/>
            <w:noWrap w:val="false"/>
          </w:tcPr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Долгое решение министерства</w:t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sz w:val="20"/>
                <w:szCs w:val="20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</w:r>
            <w:r>
              <w:rPr>
                <w:rFonts w:ascii="Golos Text" w:hAnsi="Golos Text" w:cs="Golos Text"/>
                <w:sz w:val="20"/>
                <w:szCs w:val="20"/>
              </w:rPr>
            </w:r>
          </w:p>
          <w:p>
            <w:pPr>
              <w:pStyle w:val="648"/>
              <w:numPr>
                <w:ilvl w:val="0"/>
                <w:numId w:val="0"/>
              </w:numPr>
              <w:rPr>
                <w:rFonts w:ascii="Golos Text" w:hAnsi="Golos Text" w:cs="Golos Text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Golos Text" w:hAnsi="Golos Text" w:cs="Golos Text"/>
                <w:sz w:val="20"/>
                <w:szCs w:val="20"/>
              </w:rPr>
              <w:t xml:space="preserve">Отказ в выплате</w:t>
            </w:r>
            <w:r>
              <w:rPr>
                <w:rFonts w:ascii="Golos Text" w:hAnsi="Golos Text" w:cs="Golos Text"/>
                <w:color w:val="c00000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8EAADB" w:themeColor="accent5" w:themeTint="99" w:sz="4" w:space="0"/>
            </w:tcBorders>
            <w:tcW w:w="514" w:type="pct"/>
            <w:textDirection w:val="lrTb"/>
            <w:noWrap w:val="false"/>
          </w:tcPr>
          <w:p>
            <w:pPr>
              <w:pStyle w:val="650"/>
              <w:contextualSpacing/>
              <w:tabs>
                <w:tab w:val="left" w:pos="163" w:leader="none"/>
                <w:tab w:val="left" w:pos="281" w:leader="none"/>
              </w:tabs>
              <w:rPr>
                <w:rFonts w:ascii="Golos Text" w:hAnsi="Golos Text" w:cs="Golos Text"/>
              </w:rPr>
            </w:pPr>
            <w:r>
              <w:rPr>
                <w:rFonts w:ascii="Golos Text" w:hAnsi="Golos Text" w:cs="Golos Text"/>
              </w:rPr>
              <w:t xml:space="preserve">Реализовать единое цифровое пространство со всей необходимой информацией </w:t>
            </w:r>
            <w:bookmarkStart w:id="0" w:name="_GoBack"/>
            <w:r/>
            <w:bookmarkEnd w:id="0"/>
            <w:r/>
            <w:r>
              <w:rPr>
                <w:rFonts w:ascii="Golos Text" w:hAnsi="Golos Text" w:cs="Golos Text"/>
              </w:rPr>
            </w:r>
          </w:p>
        </w:tc>
      </w:tr>
    </w:tbl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6838" w:h="11906" w:orient="landscape"/>
      <w:pgMar w:top="709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Golos Text">
    <w:panose1 w:val="02000603000000000000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</w:pPr>
      <w:rPr>
        <w:rFonts w:hint="default" w:ascii="Symbol" w:hAnsi="Symbol"/>
        <w:color w:val="bfbfbf" w:themeColor="background1" w:themeShade="BF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pStyle w:val="648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7" w:hanging="357"/>
      </w:pPr>
      <w:rPr>
        <w:rFonts w:hint="default"/>
        <w:sz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2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0"/>
    <w:next w:val="64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43"/>
    <w:link w:val="1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43"/>
    <w:link w:val="64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43"/>
    <w:link w:val="642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0"/>
    <w:next w:val="64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0"/>
    <w:next w:val="64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0"/>
    <w:next w:val="64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0"/>
    <w:next w:val="64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0"/>
    <w:next w:val="64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0"/>
    <w:next w:val="64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0"/>
    <w:next w:val="64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3"/>
    <w:link w:val="34"/>
    <w:uiPriority w:val="10"/>
    <w:rPr>
      <w:sz w:val="48"/>
      <w:szCs w:val="48"/>
    </w:rPr>
  </w:style>
  <w:style w:type="paragraph" w:styleId="36">
    <w:name w:val="Subtitle"/>
    <w:basedOn w:val="640"/>
    <w:next w:val="64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3"/>
    <w:link w:val="36"/>
    <w:uiPriority w:val="11"/>
    <w:rPr>
      <w:sz w:val="24"/>
      <w:szCs w:val="24"/>
    </w:rPr>
  </w:style>
  <w:style w:type="paragraph" w:styleId="38">
    <w:name w:val="Quote"/>
    <w:basedOn w:val="640"/>
    <w:next w:val="64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0"/>
    <w:next w:val="64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3"/>
    <w:link w:val="42"/>
    <w:uiPriority w:val="99"/>
  </w:style>
  <w:style w:type="paragraph" w:styleId="44">
    <w:name w:val="Footer"/>
    <w:basedOn w:val="64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3"/>
    <w:link w:val="44"/>
    <w:uiPriority w:val="99"/>
  </w:style>
  <w:style w:type="paragraph" w:styleId="46">
    <w:name w:val="Caption"/>
    <w:basedOn w:val="640"/>
    <w:next w:val="6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43"/>
    <w:uiPriority w:val="99"/>
    <w:unhideWhenUsed/>
    <w:rPr>
      <w:vertAlign w:val="superscript"/>
    </w:rPr>
  </w:style>
  <w:style w:type="paragraph" w:styleId="178">
    <w:name w:val="endnote text"/>
    <w:basedOn w:val="64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3"/>
    <w:uiPriority w:val="99"/>
    <w:semiHidden/>
    <w:unhideWhenUsed/>
    <w:rPr>
      <w:vertAlign w:val="superscript"/>
    </w:rPr>
  </w:style>
  <w:style w:type="paragraph" w:styleId="181">
    <w:name w:val="toc 1"/>
    <w:basedOn w:val="640"/>
    <w:next w:val="64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0"/>
    <w:next w:val="64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0"/>
    <w:next w:val="64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0"/>
    <w:next w:val="64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0"/>
    <w:next w:val="64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0"/>
    <w:next w:val="64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0"/>
    <w:next w:val="64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0"/>
    <w:next w:val="64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0"/>
    <w:next w:val="64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0"/>
    <w:next w:val="640"/>
    <w:uiPriority w:val="99"/>
    <w:unhideWhenUsed/>
    <w:pPr>
      <w:spacing w:after="0" w:afterAutospacing="0"/>
    </w:pPr>
  </w:style>
  <w:style w:type="paragraph" w:styleId="640" w:default="1">
    <w:name w:val="Normal"/>
    <w:qFormat/>
  </w:style>
  <w:style w:type="paragraph" w:styleId="641">
    <w:name w:val="Heading 2"/>
    <w:basedOn w:val="640"/>
    <w:next w:val="640"/>
    <w:link w:val="655"/>
    <w:uiPriority w:val="9"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642">
    <w:name w:val="Heading 3"/>
    <w:basedOn w:val="640"/>
    <w:next w:val="640"/>
    <w:link w:val="646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styleId="643" w:default="1">
    <w:name w:val="Default Paragraph Font"/>
    <w:uiPriority w:val="1"/>
    <w:semiHidden/>
    <w:unhideWhenUsed/>
  </w:style>
  <w:style w:type="table" w:styleId="6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5" w:default="1">
    <w:name w:val="No List"/>
    <w:uiPriority w:val="99"/>
    <w:semiHidden/>
    <w:unhideWhenUsed/>
  </w:style>
  <w:style w:type="character" w:styleId="646" w:customStyle="1">
    <w:name w:val="Заголовок 3 Знак"/>
    <w:basedOn w:val="643"/>
    <w:link w:val="642"/>
    <w:uiPriority w:val="9"/>
    <w:semiHidden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table" w:styleId="647">
    <w:name w:val="Table Grid"/>
    <w:basedOn w:val="644"/>
    <w:uiPriority w:val="39"/>
    <w:qFormat/>
    <w:pPr>
      <w:spacing w:after="0" w:line="240" w:lineRule="auto"/>
    </w:pPr>
    <w:rPr>
      <w:rFonts w:eastAsiaTheme="minorEastAsi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48" w:customStyle="1">
    <w:name w:val="Булеты"/>
    <w:basedOn w:val="652"/>
    <w:link w:val="649"/>
    <w:qFormat/>
    <w:pPr>
      <w:numPr>
        <w:ilvl w:val="0"/>
        <w:numId w:val="1"/>
      </w:numPr>
    </w:pPr>
    <w:rPr>
      <w:rFonts w:eastAsiaTheme="minorEastAsia"/>
    </w:rPr>
  </w:style>
  <w:style w:type="character" w:styleId="649" w:customStyle="1">
    <w:name w:val="Булеты Знак"/>
    <w:basedOn w:val="643"/>
    <w:link w:val="648"/>
    <w:qFormat/>
    <w:rPr>
      <w:rFonts w:eastAsiaTheme="minorEastAsia"/>
    </w:rPr>
  </w:style>
  <w:style w:type="paragraph" w:styleId="650">
    <w:name w:val="annotation text"/>
    <w:basedOn w:val="640"/>
    <w:link w:val="651"/>
    <w:uiPriority w:val="99"/>
    <w:unhideWhenUsed/>
    <w:qFormat/>
    <w:pPr>
      <w:spacing w:line="240" w:lineRule="auto"/>
    </w:pPr>
    <w:rPr>
      <w:rFonts w:eastAsiaTheme="minorEastAsia"/>
      <w:sz w:val="20"/>
      <w:szCs w:val="20"/>
    </w:rPr>
  </w:style>
  <w:style w:type="character" w:styleId="651" w:customStyle="1">
    <w:name w:val="Текст примечания Знак"/>
    <w:basedOn w:val="643"/>
    <w:link w:val="650"/>
    <w:uiPriority w:val="99"/>
    <w:qFormat/>
    <w:rPr>
      <w:rFonts w:eastAsiaTheme="minorEastAsia"/>
      <w:sz w:val="20"/>
      <w:szCs w:val="20"/>
    </w:rPr>
  </w:style>
  <w:style w:type="paragraph" w:styleId="652">
    <w:name w:val="List Paragraph"/>
    <w:basedOn w:val="640"/>
    <w:uiPriority w:val="34"/>
    <w:qFormat/>
    <w:pPr>
      <w:contextualSpacing/>
      <w:ind w:left="720"/>
    </w:pPr>
  </w:style>
  <w:style w:type="paragraph" w:styleId="653">
    <w:name w:val="Balloon Text"/>
    <w:basedOn w:val="640"/>
    <w:link w:val="6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54" w:customStyle="1">
    <w:name w:val="Текст выноски Знак"/>
    <w:basedOn w:val="643"/>
    <w:link w:val="653"/>
    <w:uiPriority w:val="99"/>
    <w:semiHidden/>
    <w:rPr>
      <w:rFonts w:ascii="Segoe UI" w:hAnsi="Segoe UI" w:cs="Segoe UI"/>
      <w:sz w:val="18"/>
      <w:szCs w:val="18"/>
    </w:rPr>
  </w:style>
  <w:style w:type="character" w:styleId="655" w:customStyle="1">
    <w:name w:val="Заголовок 2 Знак"/>
    <w:basedOn w:val="643"/>
    <w:link w:val="641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Дарья Владимировна</dc:creator>
  <cp:keywords/>
  <dc:description/>
  <cp:revision>23</cp:revision>
  <dcterms:created xsi:type="dcterms:W3CDTF">2023-08-09T07:54:00Z</dcterms:created>
  <dcterms:modified xsi:type="dcterms:W3CDTF">2024-01-26T07:47:17Z</dcterms:modified>
</cp:coreProperties>
</file>